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2E612718" w:rsidR="00385905" w:rsidRDefault="00260623"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The Medical Centre Zulu Road</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AB90F8D"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8965410"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A23BA5C"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57B13F60"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5D92B8D"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3768ACB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5B6E94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5205237"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3FEC06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F2800A4"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CAD6986"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3B5FA45"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74EF292"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3ABCAC26"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7324F0DD"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6B393DED"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0E099FD1"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244CC00"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452E2E2"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3AD6CB7F"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5D49A75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6DA5BD7F"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0A63ABDF"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CC551DF"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8E292E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72A9F4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592D4E31"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3A1DA11E"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DBAC44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108C37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683F86BE"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6821110B"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5797D406"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76ADBBC6"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020993B8"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474A5D4"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A0A8165"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012E632"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4015D239"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202EA82E"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38F6AD86" w14:textId="77777777" w:rsidR="00260623" w:rsidRDefault="00260623"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26F94C3" w:rsidR="00754729" w:rsidRPr="005E1E0E" w:rsidRDefault="00260623" w:rsidP="00260623">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lastRenderedPageBreak/>
        <w:t>The Medical Centre Zulu Road</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E50F602"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260623">
        <w:rPr>
          <w:rFonts w:ascii="Arial" w:hAnsi="Arial" w:cs="Arial"/>
          <w:sz w:val="20"/>
          <w:szCs w:val="20"/>
        </w:rPr>
        <w:t>The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AD095C1" w:rsidR="00E37206" w:rsidRPr="005E1E0E" w:rsidRDefault="00260623" w:rsidP="00E37206">
      <w:pPr>
        <w:widowControl w:val="0"/>
        <w:spacing w:after="280"/>
        <w:rPr>
          <w:rFonts w:ascii="Arial" w:hAnsi="Arial" w:cs="Arial"/>
          <w:sz w:val="20"/>
          <w:szCs w:val="20"/>
        </w:rPr>
      </w:pPr>
      <w:r>
        <w:rPr>
          <w:rFonts w:ascii="Arial" w:hAnsi="Arial" w:cs="Arial"/>
          <w:sz w:val="20"/>
          <w:szCs w:val="20"/>
        </w:rPr>
        <w:t>The Medical Centre Zulu Road</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1D38ED6C" w14:textId="77777777" w:rsidR="00260623" w:rsidRDefault="00260623" w:rsidP="00260623">
      <w:pPr>
        <w:spacing w:after="0" w:line="449" w:lineRule="auto"/>
        <w:ind w:left="-5" w:right="2587"/>
      </w:pPr>
      <w:r w:rsidRPr="00037F21">
        <w:rPr>
          <w:rFonts w:ascii="Arial" w:hAnsi="Arial" w:cs="Arial"/>
          <w:b/>
          <w:color w:val="333333"/>
          <w:sz w:val="20"/>
          <w:szCs w:val="20"/>
          <w:shd w:val="clear" w:color="auto" w:fill="FFFFFF"/>
        </w:rPr>
        <w:t xml:space="preserve">The Medical Interoperability Gateway (MIG) </w:t>
      </w:r>
    </w:p>
    <w:p w14:paraId="2BF90D52" w14:textId="77777777" w:rsidR="00260623" w:rsidRDefault="00260623" w:rsidP="00260623">
      <w:pPr>
        <w:spacing w:after="49"/>
        <w:ind w:left="-5"/>
        <w:jc w:val="both"/>
      </w:pPr>
      <w:r>
        <w:t xml:space="preserve">This project is one part of a wider programme to develop integrated patient records across Nottinghamshire.  The Medical Interoperability Gateway (MIG)  is a piece of NHS approved technology that allows clinical staff outside of a patient’s normal GP practice to view core medical </w:t>
      </w:r>
      <w:r>
        <w:lastRenderedPageBreak/>
        <w:t xml:space="preserve">items within a patient’s GP record in “real-time”.  This means that clinical staff can make informed care decisions based on up-to-date, detailed medical information.  An example of when the MIG might be used to view a patient’s record is when a patient attends an out-of-hours service during a period when their GP practice is closed.  The ability to view patient’s records will either be within an organisation’s existing clinical system or via a bespoke clinical portal within the secure NHS network. </w:t>
      </w:r>
    </w:p>
    <w:p w14:paraId="0C80C867" w14:textId="77777777" w:rsidR="00260623" w:rsidRDefault="00260623" w:rsidP="00260623">
      <w:pPr>
        <w:spacing w:after="258"/>
        <w:ind w:left="-5"/>
        <w:jc w:val="both"/>
      </w:pPr>
    </w:p>
    <w:p w14:paraId="4394C114" w14:textId="77777777" w:rsidR="00260623" w:rsidRDefault="00260623" w:rsidP="00260623">
      <w:pPr>
        <w:spacing w:after="258"/>
        <w:ind w:left="-5"/>
        <w:jc w:val="both"/>
      </w:pPr>
      <w:r>
        <w:t xml:space="preserve">The MIG only allows the GP record to be viewed.  Patients will always be asked for consent to view their GP record via the MIG at the point of viewing (explicit consent).  If you say “No” the care professional will not look at your medical information.  However there may be exceptional/emergency situations (e.g. if you were unconscious) where a health professional may access your GP record if deemed in your best interests to provide care. </w:t>
      </w:r>
    </w:p>
    <w:p w14:paraId="3CBFF5CE" w14:textId="77777777" w:rsidR="00260623" w:rsidRDefault="00260623" w:rsidP="00260623">
      <w:pPr>
        <w:ind w:left="-5"/>
      </w:pPr>
      <w:r>
        <w:t xml:space="preserve">The key medical data that will be made available to view via the MIG is: </w:t>
      </w:r>
    </w:p>
    <w:p w14:paraId="541F8CEE" w14:textId="77777777" w:rsidR="00260623" w:rsidRDefault="00260623" w:rsidP="00260623">
      <w:pPr>
        <w:numPr>
          <w:ilvl w:val="0"/>
          <w:numId w:val="30"/>
        </w:numPr>
        <w:spacing w:after="34" w:line="249" w:lineRule="auto"/>
        <w:ind w:hanging="360"/>
        <w:jc w:val="both"/>
      </w:pPr>
      <w:r>
        <w:t xml:space="preserve">Demographics </w:t>
      </w:r>
    </w:p>
    <w:p w14:paraId="596E628C" w14:textId="77777777" w:rsidR="00260623" w:rsidRDefault="00260623" w:rsidP="00260623">
      <w:pPr>
        <w:numPr>
          <w:ilvl w:val="0"/>
          <w:numId w:val="30"/>
        </w:numPr>
        <w:spacing w:after="36" w:line="249" w:lineRule="auto"/>
        <w:ind w:hanging="360"/>
        <w:jc w:val="both"/>
      </w:pPr>
      <w:r>
        <w:t xml:space="preserve">Summary information </w:t>
      </w:r>
    </w:p>
    <w:p w14:paraId="7AC777C3" w14:textId="77777777" w:rsidR="00260623" w:rsidRDefault="00260623" w:rsidP="00260623">
      <w:pPr>
        <w:numPr>
          <w:ilvl w:val="0"/>
          <w:numId w:val="30"/>
        </w:numPr>
        <w:spacing w:after="33" w:line="249" w:lineRule="auto"/>
        <w:ind w:hanging="360"/>
        <w:jc w:val="both"/>
      </w:pPr>
      <w:r>
        <w:t xml:space="preserve">Problems (current and past) </w:t>
      </w:r>
    </w:p>
    <w:p w14:paraId="514A6B0D" w14:textId="77777777" w:rsidR="00260623" w:rsidRDefault="00260623" w:rsidP="00260623">
      <w:pPr>
        <w:numPr>
          <w:ilvl w:val="0"/>
          <w:numId w:val="30"/>
        </w:numPr>
        <w:spacing w:after="32" w:line="249" w:lineRule="auto"/>
        <w:ind w:hanging="360"/>
        <w:jc w:val="both"/>
      </w:pPr>
      <w:r>
        <w:t xml:space="preserve">Diagnosis (current and past) </w:t>
      </w:r>
    </w:p>
    <w:p w14:paraId="2EF9AB43" w14:textId="77777777" w:rsidR="00260623" w:rsidRDefault="00260623" w:rsidP="00260623">
      <w:pPr>
        <w:numPr>
          <w:ilvl w:val="0"/>
          <w:numId w:val="30"/>
        </w:numPr>
        <w:spacing w:after="32" w:line="249" w:lineRule="auto"/>
        <w:ind w:hanging="360"/>
        <w:jc w:val="both"/>
      </w:pPr>
      <w:r>
        <w:t xml:space="preserve">Current medication, past medication and any medication issues </w:t>
      </w:r>
    </w:p>
    <w:p w14:paraId="3B2C0581" w14:textId="77777777" w:rsidR="00260623" w:rsidRDefault="00260623" w:rsidP="00260623">
      <w:pPr>
        <w:numPr>
          <w:ilvl w:val="0"/>
          <w:numId w:val="30"/>
        </w:numPr>
        <w:spacing w:after="32" w:line="249" w:lineRule="auto"/>
        <w:ind w:hanging="360"/>
        <w:jc w:val="both"/>
      </w:pPr>
      <w:r>
        <w:t xml:space="preserve">Risks and warnings (allergies and contraindications) </w:t>
      </w:r>
    </w:p>
    <w:p w14:paraId="22DBE960" w14:textId="77777777" w:rsidR="00260623" w:rsidRDefault="00260623" w:rsidP="00260623">
      <w:pPr>
        <w:numPr>
          <w:ilvl w:val="0"/>
          <w:numId w:val="30"/>
        </w:numPr>
        <w:spacing w:after="37" w:line="249" w:lineRule="auto"/>
        <w:ind w:hanging="360"/>
        <w:jc w:val="both"/>
      </w:pPr>
      <w:r>
        <w:t xml:space="preserve">Procedures (operations, vaccinations and immunisations) </w:t>
      </w:r>
    </w:p>
    <w:p w14:paraId="6994D499" w14:textId="77777777" w:rsidR="00260623" w:rsidRDefault="00260623" w:rsidP="00260623">
      <w:pPr>
        <w:numPr>
          <w:ilvl w:val="0"/>
          <w:numId w:val="30"/>
        </w:numPr>
        <w:spacing w:after="33" w:line="249" w:lineRule="auto"/>
        <w:ind w:hanging="360"/>
        <w:jc w:val="both"/>
      </w:pPr>
      <w:r>
        <w:t xml:space="preserve">Investigations </w:t>
      </w:r>
    </w:p>
    <w:p w14:paraId="0DACF1CA" w14:textId="77777777" w:rsidR="00260623" w:rsidRDefault="00260623" w:rsidP="00260623">
      <w:pPr>
        <w:numPr>
          <w:ilvl w:val="0"/>
          <w:numId w:val="30"/>
        </w:numPr>
        <w:spacing w:after="33" w:line="249" w:lineRule="auto"/>
        <w:ind w:hanging="360"/>
        <w:jc w:val="both"/>
      </w:pPr>
      <w:r>
        <w:t xml:space="preserve">Examinations (blood pressures) </w:t>
      </w:r>
    </w:p>
    <w:p w14:paraId="3EC47DB1" w14:textId="77777777" w:rsidR="00260623" w:rsidRDefault="00260623" w:rsidP="00260623">
      <w:pPr>
        <w:numPr>
          <w:ilvl w:val="0"/>
          <w:numId w:val="30"/>
        </w:numPr>
        <w:spacing w:after="32" w:line="249" w:lineRule="auto"/>
        <w:ind w:hanging="360"/>
        <w:jc w:val="both"/>
      </w:pPr>
      <w:r>
        <w:t xml:space="preserve">Events (encounters, referrals and admissions) </w:t>
      </w:r>
    </w:p>
    <w:p w14:paraId="1316C8B1" w14:textId="77777777" w:rsidR="00260623" w:rsidRDefault="00260623" w:rsidP="00260623">
      <w:pPr>
        <w:numPr>
          <w:ilvl w:val="0"/>
          <w:numId w:val="30"/>
        </w:numPr>
        <w:spacing w:after="46" w:line="249" w:lineRule="auto"/>
        <w:ind w:hanging="360"/>
        <w:jc w:val="both"/>
      </w:pPr>
      <w:r>
        <w:t xml:space="preserve">End-of-life care information e.g. about your preferences for where you want to be cared for and whether or not medicines are available in your house in case of an urgent need. </w:t>
      </w:r>
    </w:p>
    <w:p w14:paraId="63DF8AB3" w14:textId="11D8DA8F" w:rsidR="00C07129"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F997183" w:rsidR="00B94788" w:rsidRDefault="00B94788">
      <w:pPr>
        <w:spacing w:after="0" w:line="240" w:lineRule="auto"/>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60623"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r w:rsidRPr="005E1E0E">
        <w:rPr>
          <w:rFonts w:ascii="Arial" w:hAnsi="Arial" w:cs="Arial"/>
          <w:sz w:val="20"/>
          <w:szCs w:val="20"/>
        </w:rPr>
        <w:lastRenderedPageBreak/>
        <w:t xml:space="preserve">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D0A9F6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60623">
        <w:rPr>
          <w:rFonts w:ascii="Arial" w:hAnsi="Arial" w:cs="Arial"/>
          <w:sz w:val="20"/>
          <w:szCs w:val="20"/>
        </w:rPr>
        <w:t>The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6C1DFC86" w14:textId="77777777" w:rsidR="00260623" w:rsidRDefault="00260623" w:rsidP="006173EC">
      <w:pPr>
        <w:widowControl w:val="0"/>
        <w:spacing w:after="280"/>
        <w:jc w:val="center"/>
        <w:rPr>
          <w:rFonts w:ascii="Arial" w:hAnsi="Arial" w:cs="Arial"/>
          <w:b/>
          <w:sz w:val="20"/>
          <w:szCs w:val="20"/>
        </w:rPr>
      </w:pPr>
    </w:p>
    <w:p w14:paraId="556D92CB" w14:textId="77777777" w:rsidR="00260623" w:rsidRDefault="00260623" w:rsidP="006173EC">
      <w:pPr>
        <w:widowControl w:val="0"/>
        <w:spacing w:after="280"/>
        <w:jc w:val="center"/>
        <w:rPr>
          <w:rFonts w:ascii="Arial" w:hAnsi="Arial" w:cs="Arial"/>
          <w:b/>
          <w:sz w:val="20"/>
          <w:szCs w:val="20"/>
        </w:rPr>
      </w:pPr>
    </w:p>
    <w:p w14:paraId="67A56829" w14:textId="77777777" w:rsidR="00260623" w:rsidRDefault="00260623" w:rsidP="006173EC">
      <w:pPr>
        <w:widowControl w:val="0"/>
        <w:spacing w:after="280"/>
        <w:jc w:val="center"/>
        <w:rPr>
          <w:rFonts w:ascii="Arial" w:hAnsi="Arial" w:cs="Arial"/>
          <w:b/>
          <w:sz w:val="20"/>
          <w:szCs w:val="20"/>
        </w:rPr>
      </w:pPr>
    </w:p>
    <w:p w14:paraId="4F99D4BF" w14:textId="77777777" w:rsidR="00260623" w:rsidRDefault="00260623" w:rsidP="006173EC">
      <w:pPr>
        <w:widowControl w:val="0"/>
        <w:spacing w:after="280"/>
        <w:jc w:val="center"/>
        <w:rPr>
          <w:rFonts w:ascii="Arial" w:hAnsi="Arial" w:cs="Arial"/>
          <w:b/>
          <w:sz w:val="20"/>
          <w:szCs w:val="20"/>
        </w:rPr>
      </w:pPr>
    </w:p>
    <w:p w14:paraId="5B8373C9" w14:textId="77777777" w:rsidR="00260623" w:rsidRDefault="00260623" w:rsidP="006173EC">
      <w:pPr>
        <w:widowControl w:val="0"/>
        <w:spacing w:after="280"/>
        <w:jc w:val="center"/>
        <w:rPr>
          <w:rFonts w:ascii="Arial" w:hAnsi="Arial" w:cs="Arial"/>
          <w:b/>
          <w:sz w:val="20"/>
          <w:szCs w:val="20"/>
        </w:rPr>
      </w:pPr>
    </w:p>
    <w:p w14:paraId="5CFDBC09" w14:textId="77777777" w:rsidR="00260623" w:rsidRDefault="00260623" w:rsidP="006173EC">
      <w:pPr>
        <w:widowControl w:val="0"/>
        <w:spacing w:after="280"/>
        <w:jc w:val="center"/>
        <w:rPr>
          <w:rFonts w:ascii="Arial" w:hAnsi="Arial" w:cs="Arial"/>
          <w:b/>
          <w:sz w:val="20"/>
          <w:szCs w:val="20"/>
        </w:rPr>
      </w:pPr>
    </w:p>
    <w:p w14:paraId="0D239331" w14:textId="77777777" w:rsidR="00260623" w:rsidRDefault="00260623" w:rsidP="006173EC">
      <w:pPr>
        <w:widowControl w:val="0"/>
        <w:spacing w:after="280"/>
        <w:jc w:val="center"/>
        <w:rPr>
          <w:rFonts w:ascii="Arial" w:hAnsi="Arial" w:cs="Arial"/>
          <w:b/>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bookmarkStart w:id="6" w:name="_GoBack"/>
      <w:bookmarkEnd w:id="6"/>
      <w:r w:rsidRPr="005E1E0E">
        <w:rPr>
          <w:rFonts w:ascii="Arial" w:hAnsi="Arial" w:cs="Arial"/>
          <w:b/>
          <w:sz w:val="20"/>
          <w:szCs w:val="20"/>
        </w:rPr>
        <w:lastRenderedPageBreak/>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8" w:history="1">
        <w:r>
          <w:rPr>
            <w:rStyle w:val="Hyperlink"/>
            <w:rFonts w:ascii="Arial" w:hAnsi="Arial" w:cs="Arial"/>
            <w:sz w:val="20"/>
            <w:szCs w:val="20"/>
          </w:rPr>
          <w:t>British Medical Association (BMA)</w:t>
        </w:r>
      </w:hyperlink>
      <w:r>
        <w:rPr>
          <w:rFonts w:ascii="Arial" w:hAnsi="Arial" w:cs="Arial"/>
          <w:sz w:val="20"/>
          <w:szCs w:val="20"/>
        </w:rPr>
        <w:t>, </w:t>
      </w:r>
      <w:hyperlink r:id="rId9" w:history="1">
        <w:r>
          <w:rPr>
            <w:rStyle w:val="Hyperlink"/>
            <w:rFonts w:ascii="Arial" w:hAnsi="Arial" w:cs="Arial"/>
            <w:sz w:val="20"/>
            <w:szCs w:val="20"/>
          </w:rPr>
          <w:t>Royal College of GPs (RCGP)</w:t>
        </w:r>
      </w:hyperlink>
      <w:r>
        <w:rPr>
          <w:rFonts w:ascii="Arial" w:hAnsi="Arial" w:cs="Arial"/>
          <w:sz w:val="20"/>
          <w:szCs w:val="20"/>
        </w:rPr>
        <w:t> and the </w:t>
      </w:r>
      <w:hyperlink r:id="rId1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proofErr w:type="gramStart"/>
      <w:r>
        <w:rPr>
          <w:rFonts w:ascii="Arial" w:hAnsi="Arial" w:cs="Arial"/>
          <w:sz w:val="20"/>
          <w:szCs w:val="20"/>
        </w:rPr>
        <w:t>NHS Digital legal basis for collecting, analysing and sharing patient data.</w:t>
      </w:r>
      <w:proofErr w:type="gramEnd"/>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9"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2" w:history="1">
        <w:r>
          <w:rPr>
            <w:rStyle w:val="Hyperlink"/>
            <w:rFonts w:ascii="Arial" w:hAnsi="Arial" w:cs="Arial"/>
            <w:sz w:val="20"/>
            <w:szCs w:val="20"/>
          </w:rPr>
          <w:t>Data and Information</w:t>
        </w:r>
      </w:hyperlink>
      <w:r>
        <w:rPr>
          <w:rFonts w:ascii="Arial" w:hAnsi="Arial" w:cs="Arial"/>
          <w:sz w:val="20"/>
          <w:szCs w:val="20"/>
        </w:rPr>
        <w:t> and </w:t>
      </w:r>
      <w:hyperlink r:id="rId23"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5"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6"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8"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9"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30"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1"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w:t>
      </w:r>
      <w:r w:rsidRPr="005E1E0E">
        <w:rPr>
          <w:rFonts w:ascii="Arial" w:hAnsi="Arial" w:cs="Arial"/>
          <w:sz w:val="20"/>
          <w:szCs w:val="20"/>
        </w:rPr>
        <w:lastRenderedPageBreak/>
        <w:t xml:space="preserve">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49AE9D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60623">
        <w:rPr>
          <w:rFonts w:ascii="Arial" w:hAnsi="Arial" w:cs="Arial"/>
          <w:sz w:val="20"/>
          <w:szCs w:val="20"/>
        </w:rPr>
        <w:t>The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w:t>
      </w:r>
      <w:r w:rsidRPr="006B45AE">
        <w:rPr>
          <w:rFonts w:ascii="Arial" w:hAnsi="Arial" w:cs="Arial"/>
          <w:sz w:val="20"/>
          <w:szCs w:val="20"/>
        </w:rPr>
        <w:lastRenderedPageBreak/>
        <w:t>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128FA926" w14:textId="77777777" w:rsidR="00260623" w:rsidRDefault="00260623" w:rsidP="00E40334">
      <w:pPr>
        <w:pStyle w:val="Heading1"/>
        <w:rPr>
          <w:rFonts w:ascii="Arial" w:hAnsi="Arial" w:cs="Arial"/>
          <w:b/>
          <w:bCs/>
          <w:color w:val="auto"/>
          <w:sz w:val="20"/>
          <w:szCs w:val="20"/>
        </w:rPr>
      </w:pPr>
      <w:bookmarkStart w:id="10" w:name="_Toc31368652"/>
    </w:p>
    <w:p w14:paraId="2C58DBD1" w14:textId="77777777" w:rsidR="00260623" w:rsidRDefault="00260623" w:rsidP="00E40334">
      <w:pPr>
        <w:pStyle w:val="Heading1"/>
        <w:rPr>
          <w:rFonts w:ascii="Arial" w:hAnsi="Arial" w:cs="Arial"/>
          <w:b/>
          <w:bCs/>
          <w:color w:val="auto"/>
          <w:sz w:val="20"/>
          <w:szCs w:val="20"/>
        </w:rPr>
      </w:pP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60623"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lastRenderedPageBreak/>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96202D5"/>
    <w:multiLevelType w:val="hybridMultilevel"/>
    <w:tmpl w:val="ABC4F9E0"/>
    <w:lvl w:ilvl="0" w:tplc="C338F2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EC6E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7E9D7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840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C7E8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0444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828E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2A15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ECF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4"/>
  </w:num>
  <w:num w:numId="13">
    <w:abstractNumId w:val="8"/>
  </w:num>
  <w:num w:numId="14">
    <w:abstractNumId w:val="28"/>
  </w:num>
  <w:num w:numId="15">
    <w:abstractNumId w:val="16"/>
  </w:num>
  <w:num w:numId="16">
    <w:abstractNumId w:val="23"/>
  </w:num>
  <w:num w:numId="17">
    <w:abstractNumId w:val="13"/>
  </w:num>
  <w:num w:numId="18">
    <w:abstractNumId w:val="29"/>
  </w:num>
  <w:num w:numId="19">
    <w:abstractNumId w:val="22"/>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0623"/>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C3A8-D11C-4B33-B2C0-E31BD999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8218</Words>
  <Characters>46849</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Danielle Clarke</cp:lastModifiedBy>
  <cp:revision>2</cp:revision>
  <cp:lastPrinted>2019-06-13T09:46:00Z</cp:lastPrinted>
  <dcterms:created xsi:type="dcterms:W3CDTF">2021-06-16T08:55:00Z</dcterms:created>
  <dcterms:modified xsi:type="dcterms:W3CDTF">2021-06-16T08:55:00Z</dcterms:modified>
</cp:coreProperties>
</file>